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FA7" w:rsidRPr="00BB4FA7" w:rsidRDefault="00BB4FA7" w:rsidP="00BB4FA7">
      <w:pPr>
        <w:pStyle w:val="Titre"/>
        <w:framePr w:w="10409" w:wrap="notBeside" w:x="820" w:y="342"/>
      </w:pPr>
      <w:r w:rsidRPr="00BB4FA7">
        <w:t>Advancements in Metamaterial Design for Terahertz Applications</w:t>
      </w:r>
    </w:p>
    <w:p w:rsidR="00E97402" w:rsidRDefault="00E97402">
      <w:pPr>
        <w:pStyle w:val="Text"/>
        <w:ind w:firstLine="0"/>
        <w:rPr>
          <w:sz w:val="18"/>
          <w:szCs w:val="18"/>
        </w:rPr>
      </w:pPr>
      <w:r>
        <w:rPr>
          <w:sz w:val="18"/>
          <w:szCs w:val="18"/>
        </w:rPr>
        <w:footnoteReference w:customMarkFollows="1" w:id="1"/>
        <w:sym w:font="Symbol" w:char="F020"/>
      </w:r>
    </w:p>
    <w:p w:rsidR="00E77770" w:rsidRDefault="00E77770" w:rsidP="00E77770">
      <w:pPr>
        <w:pStyle w:val="Authors"/>
        <w:framePr w:wrap="notBeside"/>
        <w:spacing w:after="120"/>
      </w:pPr>
      <w:r w:rsidRPr="00E77770">
        <w:t>Alice B. Johnson</w:t>
      </w:r>
      <w:proofErr w:type="gramStart"/>
      <w:r w:rsidRPr="00E77770">
        <w:rPr>
          <w:vertAlign w:val="superscript"/>
        </w:rPr>
        <w:t>1,*</w:t>
      </w:r>
      <w:proofErr w:type="gramEnd"/>
      <w:r w:rsidRPr="00E77770">
        <w:t>, Bob C. Williams</w:t>
      </w:r>
      <w:r w:rsidRPr="00E77770">
        <w:rPr>
          <w:vertAlign w:val="superscript"/>
        </w:rPr>
        <w:t>2</w:t>
      </w:r>
      <w:r w:rsidRPr="00E77770">
        <w:t>, Charlie D. Smith</w:t>
      </w:r>
      <w:r w:rsidRPr="00E77770">
        <w:rPr>
          <w:vertAlign w:val="superscript"/>
        </w:rPr>
        <w:t>1</w:t>
      </w:r>
    </w:p>
    <w:p w:rsidR="00E97402" w:rsidRPr="00625E9A" w:rsidRDefault="00E77770" w:rsidP="00625E9A">
      <w:pPr>
        <w:pStyle w:val="NormalWeb"/>
        <w:framePr w:w="9072" w:hSpace="187" w:vSpace="187" w:wrap="notBeside" w:vAnchor="text" w:hAnchor="page" w:xAlign="center" w:y="1"/>
        <w:spacing w:before="0" w:beforeAutospacing="0" w:after="0" w:afterAutospacing="0"/>
        <w:jc w:val="center"/>
        <w:rPr>
          <w:lang w:val="en-US"/>
        </w:rPr>
      </w:pPr>
      <w:r w:rsidRPr="00E77770">
        <w:rPr>
          <w:vertAlign w:val="superscript"/>
          <w:lang w:val="en-US"/>
        </w:rPr>
        <w:t>1</w:t>
      </w:r>
      <w:r w:rsidRPr="00E77770">
        <w:rPr>
          <w:lang w:val="en-US"/>
        </w:rPr>
        <w:t xml:space="preserve">Department of Physics, Trinity College Dublin, Ireland </w:t>
      </w:r>
      <w:r w:rsidRPr="00E77770">
        <w:rPr>
          <w:lang w:val="en-US"/>
        </w:rPr>
        <w:br/>
      </w:r>
      <w:r w:rsidRPr="00E77770">
        <w:rPr>
          <w:vertAlign w:val="superscript"/>
          <w:lang w:val="en-US"/>
        </w:rPr>
        <w:t>2</w:t>
      </w:r>
      <w:r w:rsidRPr="00E77770">
        <w:rPr>
          <w:lang w:val="en-US"/>
        </w:rPr>
        <w:t xml:space="preserve">School of Electrical Engineering, University of Somewhere, USA </w:t>
      </w:r>
      <w:r w:rsidRPr="00E77770">
        <w:rPr>
          <w:lang w:val="en-US"/>
        </w:rPr>
        <w:br/>
      </w:r>
      <w:r w:rsidRPr="00E77770">
        <w:rPr>
          <w:lang w:val="en-US"/>
        </w:rPr>
        <w:t xml:space="preserve">*Corresponding author: </w:t>
      </w:r>
      <w:r w:rsidRPr="00E77770">
        <w:rPr>
          <w:rFonts w:ascii="NimbusRomNo9L" w:hAnsi="NimbusRomNo9L"/>
          <w:color w:val="008CA8"/>
          <w:sz w:val="22"/>
          <w:szCs w:val="22"/>
          <w:lang w:val="en-US"/>
        </w:rPr>
        <w:t>alice.johnson@tcd.ie</w:t>
      </w:r>
    </w:p>
    <w:p w:rsidR="00E97402" w:rsidRDefault="00E97402">
      <w:pPr>
        <w:pStyle w:val="Abstract"/>
      </w:pPr>
      <w:r>
        <w:rPr>
          <w:i/>
          <w:iCs/>
        </w:rPr>
        <w:t>Abstract</w:t>
      </w:r>
      <w:r>
        <w:t>—</w:t>
      </w:r>
      <w:r w:rsidR="00E77770" w:rsidRPr="00E77770">
        <w:t xml:space="preserve"> Provide a concise summary of your work in 50 words maximum. Do not include any symbols, special characters, or math in the paper’s title or abstract. The abstract should appear immediately below the authors’ names and corresponding author contact information.</w:t>
      </w:r>
    </w:p>
    <w:p w:rsidR="00E97402" w:rsidRDefault="00E77770" w:rsidP="00E77770">
      <w:pPr>
        <w:pStyle w:val="IndexTerms"/>
      </w:pPr>
      <w:bookmarkStart w:id="0" w:name="PointTmp"/>
      <w:r w:rsidRPr="00625E9A">
        <w:rPr>
          <w:i/>
        </w:rPr>
        <w:t>Keywords</w:t>
      </w:r>
      <w:r w:rsidRPr="00E77770">
        <w:t>— metamaterials, terahertz, machine learning, photonic crystals.</w:t>
      </w:r>
    </w:p>
    <w:bookmarkEnd w:id="0"/>
    <w:p w:rsidR="00E97402" w:rsidRDefault="00E97402">
      <w:pPr>
        <w:pStyle w:val="Titre1"/>
      </w:pPr>
      <w:r>
        <w:t>I</w:t>
      </w:r>
      <w:r>
        <w:rPr>
          <w:sz w:val="16"/>
          <w:szCs w:val="16"/>
        </w:rPr>
        <w:t>NTRODUCTION</w:t>
      </w:r>
    </w:p>
    <w:p w:rsidR="00F67D5F" w:rsidRDefault="00E77770" w:rsidP="00625E9A">
      <w:pPr>
        <w:pStyle w:val="Text"/>
        <w:spacing w:before="120"/>
        <w:ind w:firstLine="204"/>
      </w:pPr>
      <w:r>
        <w:t>Metamaterials have revolutionized electromagnetic wave control. The growing demand for advanced terahertz technologies necessitates innovative material design approaches.</w:t>
      </w:r>
    </w:p>
    <w:p w:rsidR="00E97402" w:rsidRDefault="00E77770">
      <w:pPr>
        <w:pStyle w:val="Titre1"/>
      </w:pPr>
      <w:r w:rsidRPr="00E77770">
        <w:t>M</w:t>
      </w:r>
      <w:r>
        <w:t>ethods</w:t>
      </w:r>
    </w:p>
    <w:p w:rsidR="00E77770" w:rsidRDefault="00E77770" w:rsidP="00625E9A">
      <w:pPr>
        <w:pStyle w:val="Text"/>
        <w:spacing w:before="120"/>
        <w:ind w:firstLine="204"/>
      </w:pPr>
      <w:r w:rsidRPr="00E77770">
        <w:t xml:space="preserve">Our methodology integrates simulation, optimization </w:t>
      </w:r>
      <w:proofErr w:type="spellStart"/>
      <w:r w:rsidRPr="00E77770">
        <w:t>algo</w:t>
      </w:r>
      <w:proofErr w:type="spellEnd"/>
      <w:r w:rsidRPr="00E77770">
        <w:t xml:space="preserve">- </w:t>
      </w:r>
      <w:proofErr w:type="spellStart"/>
      <w:r w:rsidRPr="00E77770">
        <w:t>rithms</w:t>
      </w:r>
      <w:proofErr w:type="spellEnd"/>
      <w:r w:rsidRPr="00E77770">
        <w:t>, and experimental feedback:</w:t>
      </w:r>
      <w:r>
        <w:t xml:space="preserve"> </w:t>
      </w:r>
      <w:r w:rsidR="00263F44">
        <w:fldChar w:fldCharType="begin"/>
      </w:r>
      <w:r w:rsidR="00263F44">
        <w:instrText xml:space="preserve"> EQ </w:instrText>
      </w:r>
      <w:r w:rsidR="00263F44">
        <w:fldChar w:fldCharType="end"/>
      </w:r>
      <w:r>
        <w:fldChar w:fldCharType="begin"/>
      </w:r>
      <w:r>
        <w:instrText xml:space="preserve"> ε_eff(ω)=∑_(n=1)^N (f_n ω_n^2)/(ω_n^2-ω^2-iγ_n ω) </w:instrText>
      </w:r>
      <w:r>
        <w:fldChar w:fldCharType="end"/>
      </w:r>
    </w:p>
    <w:p w:rsidR="00E77770" w:rsidRDefault="00E77770" w:rsidP="00E97402">
      <w:pPr>
        <w:pStyle w:val="Text"/>
      </w:pPr>
    </w:p>
    <w:p w:rsidR="00E77770" w:rsidRDefault="00263F44" w:rsidP="00263F44">
      <w:pPr>
        <w:pStyle w:val="Text"/>
        <w:ind w:left="808"/>
        <w:rPr>
          <w:sz w:val="22"/>
        </w:rPr>
      </w:pPr>
      <w:r>
        <w:rPr>
          <w:noProof/>
          <w:sz w:val="22"/>
        </w:rPr>
        <w:drawing>
          <wp:inline distT="0" distB="0" distL="0" distR="0">
            <wp:extent cx="2501900" cy="4572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quation2.jpg"/>
                    <pic:cNvPicPr/>
                  </pic:nvPicPr>
                  <pic:blipFill>
                    <a:blip r:embed="rId7">
                      <a:extLst>
                        <a:ext uri="{28A0092B-C50C-407E-A947-70E740481C1C}">
                          <a14:useLocalDpi xmlns:a14="http://schemas.microsoft.com/office/drawing/2010/main" val="0"/>
                        </a:ext>
                      </a:extLst>
                    </a:blip>
                    <a:stretch>
                      <a:fillRect/>
                    </a:stretch>
                  </pic:blipFill>
                  <pic:spPr>
                    <a:xfrm>
                      <a:off x="0" y="0"/>
                      <a:ext cx="2501900" cy="457200"/>
                    </a:xfrm>
                    <a:prstGeom prst="rect">
                      <a:avLst/>
                    </a:prstGeom>
                  </pic:spPr>
                </pic:pic>
              </a:graphicData>
            </a:graphic>
          </wp:inline>
        </w:drawing>
      </w:r>
      <w:r>
        <w:rPr>
          <w:sz w:val="22"/>
        </w:rPr>
        <w:tab/>
      </w:r>
    </w:p>
    <w:p w:rsidR="00CB4FF2" w:rsidRDefault="00263F44" w:rsidP="00E97402">
      <w:pPr>
        <w:pStyle w:val="Text"/>
      </w:pPr>
      <w:r w:rsidRPr="00263F44">
        <w:t xml:space="preserve">where </w:t>
      </w:r>
      <w:proofErr w:type="spellStart"/>
      <w:r w:rsidRPr="00263F44">
        <w:t>ε</w:t>
      </w:r>
      <w:r w:rsidRPr="00CB4FF2">
        <w:rPr>
          <w:vertAlign w:val="subscript"/>
        </w:rPr>
        <w:t>eff</w:t>
      </w:r>
      <w:proofErr w:type="spellEnd"/>
      <w:r w:rsidRPr="00263F44">
        <w:t xml:space="preserve"> denotes the effective permittivity, </w:t>
      </w:r>
      <w:proofErr w:type="spellStart"/>
      <w:r w:rsidRPr="00263F44">
        <w:t>f</w:t>
      </w:r>
      <w:r w:rsidRPr="00CB4FF2">
        <w:rPr>
          <w:vertAlign w:val="subscript"/>
        </w:rPr>
        <w:t>n</w:t>
      </w:r>
      <w:proofErr w:type="spellEnd"/>
      <w:r w:rsidRPr="00263F44">
        <w:t xml:space="preserve"> the oscillator strength, </w:t>
      </w:r>
      <w:proofErr w:type="spellStart"/>
      <w:r w:rsidRPr="00263F44">
        <w:t>ω</w:t>
      </w:r>
      <w:r w:rsidRPr="00CB4FF2">
        <w:rPr>
          <w:vertAlign w:val="subscript"/>
        </w:rPr>
        <w:t>n</w:t>
      </w:r>
      <w:proofErr w:type="spellEnd"/>
      <w:r w:rsidRPr="00263F44">
        <w:t xml:space="preserve"> the resonant frequency, and </w:t>
      </w:r>
      <w:proofErr w:type="spellStart"/>
      <w:r w:rsidRPr="00263F44">
        <w:t>γ</w:t>
      </w:r>
      <w:r w:rsidRPr="00CB4FF2">
        <w:rPr>
          <w:vertAlign w:val="subscript"/>
        </w:rPr>
        <w:t>n</w:t>
      </w:r>
      <w:proofErr w:type="spellEnd"/>
      <w:r w:rsidRPr="00263F44">
        <w:t xml:space="preserve"> the damping factor.</w:t>
      </w:r>
    </w:p>
    <w:p w:rsidR="00CB4FF2" w:rsidRDefault="00CB4FF2" w:rsidP="00CB4FF2">
      <w:pPr>
        <w:pStyle w:val="Text"/>
        <w:ind w:firstLine="0"/>
      </w:pPr>
    </w:p>
    <w:p w:rsidR="00CB4FF2" w:rsidRDefault="00CB4FF2" w:rsidP="00CB4FF2">
      <w:pPr>
        <w:pStyle w:val="Text"/>
        <w:jc w:val="center"/>
      </w:pPr>
      <w:r>
        <w:rPr>
          <w:noProof/>
        </w:rPr>
        <w:drawing>
          <wp:inline distT="0" distB="0" distL="0" distR="0">
            <wp:extent cx="2941123" cy="1872343"/>
            <wp:effectExtent l="0" t="0" r="571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_figure.eps"/>
                    <pic:cNvPicPr/>
                  </pic:nvPicPr>
                  <pic:blipFill>
                    <a:blip r:embed="rId8">
                      <a:extLst>
                        <a:ext uri="{28A0092B-C50C-407E-A947-70E740481C1C}">
                          <a14:useLocalDpi xmlns:a14="http://schemas.microsoft.com/office/drawing/2010/main" val="0"/>
                        </a:ext>
                      </a:extLst>
                    </a:blip>
                    <a:stretch>
                      <a:fillRect/>
                    </a:stretch>
                  </pic:blipFill>
                  <pic:spPr>
                    <a:xfrm>
                      <a:off x="0" y="0"/>
                      <a:ext cx="2969658" cy="1890509"/>
                    </a:xfrm>
                    <a:prstGeom prst="rect">
                      <a:avLst/>
                    </a:prstGeom>
                  </pic:spPr>
                </pic:pic>
              </a:graphicData>
            </a:graphic>
          </wp:inline>
        </w:drawing>
      </w:r>
    </w:p>
    <w:p w:rsidR="00625E9A" w:rsidRDefault="00625E9A" w:rsidP="00CB4FF2">
      <w:pPr>
        <w:pStyle w:val="Text"/>
        <w:jc w:val="center"/>
        <w:rPr>
          <w:sz w:val="18"/>
          <w:szCs w:val="18"/>
        </w:rPr>
      </w:pPr>
    </w:p>
    <w:p w:rsidR="00CB4FF2" w:rsidRDefault="00CB4FF2" w:rsidP="00CB4FF2">
      <w:pPr>
        <w:pStyle w:val="Text"/>
        <w:jc w:val="center"/>
      </w:pPr>
      <w:r w:rsidRPr="00CB4FF2">
        <w:rPr>
          <w:sz w:val="18"/>
          <w:szCs w:val="18"/>
        </w:rPr>
        <w:t>Fig. 1</w:t>
      </w:r>
      <w:r w:rsidRPr="00CB4FF2">
        <w:rPr>
          <w:sz w:val="18"/>
          <w:szCs w:val="18"/>
        </w:rPr>
        <w:t xml:space="preserve"> Unit cell geometry of the proposed metamaterial.</w:t>
      </w:r>
    </w:p>
    <w:p w:rsidR="00CB4FF2" w:rsidRDefault="00CB4FF2" w:rsidP="00CB4FF2">
      <w:pPr>
        <w:pStyle w:val="Text"/>
        <w:jc w:val="left"/>
      </w:pPr>
    </w:p>
    <w:p w:rsidR="00E97402" w:rsidRDefault="00CB4FF2">
      <w:pPr>
        <w:pStyle w:val="Titre1"/>
      </w:pPr>
      <w:r w:rsidRPr="00CB4FF2">
        <w:t>R</w:t>
      </w:r>
      <w:r>
        <w:t>esults and Discussion</w:t>
      </w:r>
    </w:p>
    <w:p w:rsidR="00CB4FF2" w:rsidRDefault="00CB4FF2" w:rsidP="00CB4FF2">
      <w:pPr>
        <w:pStyle w:val="Text"/>
      </w:pPr>
      <w:r>
        <w:t>Experimental results show:</w:t>
      </w:r>
    </w:p>
    <w:p w:rsidR="00CB4FF2" w:rsidRDefault="00CB4FF2" w:rsidP="00CB4FF2">
      <w:pPr>
        <w:pStyle w:val="Text"/>
        <w:numPr>
          <w:ilvl w:val="0"/>
          <w:numId w:val="22"/>
        </w:numPr>
      </w:pPr>
      <w:r>
        <w:t>92 percent absorption at 0.8 THz</w:t>
      </w:r>
    </w:p>
    <w:p w:rsidR="00CB4FF2" w:rsidRDefault="00CB4FF2" w:rsidP="00CB4FF2">
      <w:pPr>
        <w:pStyle w:val="Text"/>
        <w:numPr>
          <w:ilvl w:val="0"/>
          <w:numId w:val="22"/>
        </w:numPr>
      </w:pPr>
      <w:r>
        <w:t>40 percent broader operational bandwidth than conventional THz absorbers</w:t>
      </w:r>
    </w:p>
    <w:p w:rsidR="00E97402" w:rsidRDefault="00CB4FF2" w:rsidP="00CB4FF2">
      <w:pPr>
        <w:pStyle w:val="Text"/>
        <w:numPr>
          <w:ilvl w:val="0"/>
          <w:numId w:val="22"/>
        </w:numPr>
      </w:pPr>
      <w:bookmarkStart w:id="1" w:name="_GoBack"/>
      <w:bookmarkEnd w:id="1"/>
      <w:r>
        <w:t>Strong agreement between simulated and measured spectra (Fig. 1)</w:t>
      </w:r>
    </w:p>
    <w:p w:rsidR="00CB4FF2" w:rsidRDefault="00CB4FF2" w:rsidP="00CB4FF2">
      <w:pPr>
        <w:pStyle w:val="Titre1"/>
      </w:pPr>
      <w:r>
        <w:t>Conclusion</w:t>
      </w:r>
    </w:p>
    <w:p w:rsidR="00E97402" w:rsidRDefault="00CB4FF2" w:rsidP="00CB4FF2">
      <w:pPr>
        <w:pStyle w:val="Text"/>
      </w:pPr>
      <w:r>
        <w:t xml:space="preserve">We have demonstrated a THz metamaterial with superior </w:t>
      </w:r>
      <w:proofErr w:type="spellStart"/>
      <w:r>
        <w:t>wavefront</w:t>
      </w:r>
      <w:proofErr w:type="spellEnd"/>
      <w:r>
        <w:t xml:space="preserve"> control and broadband absorption. Future work will extend the design to polarization-independent and </w:t>
      </w:r>
      <w:proofErr w:type="spellStart"/>
      <w:r>
        <w:t>reconfig</w:t>
      </w:r>
      <w:proofErr w:type="spellEnd"/>
      <w:r>
        <w:t xml:space="preserve">- </w:t>
      </w:r>
      <w:proofErr w:type="spellStart"/>
      <w:r>
        <w:t>urable</w:t>
      </w:r>
      <w:proofErr w:type="spellEnd"/>
      <w:r>
        <w:t xml:space="preserve"> THz devices.</w:t>
      </w:r>
    </w:p>
    <w:p w:rsidR="00CB4FF2" w:rsidRDefault="00CB4FF2" w:rsidP="00CB4FF2">
      <w:pPr>
        <w:pStyle w:val="Titre1"/>
        <w:numPr>
          <w:ilvl w:val="0"/>
          <w:numId w:val="0"/>
        </w:numPr>
      </w:pPr>
      <w:r w:rsidRPr="00CB4FF2">
        <w:t>A</w:t>
      </w:r>
      <w:r>
        <w:t>cknowledgments</w:t>
      </w:r>
    </w:p>
    <w:p w:rsidR="00CB4FF2" w:rsidRDefault="00CB4FF2" w:rsidP="00CB4FF2">
      <w:pPr>
        <w:pStyle w:val="Text"/>
      </w:pPr>
      <w:r w:rsidRPr="00CB4FF2">
        <w:t xml:space="preserve">This work was supported by the </w:t>
      </w:r>
      <w:proofErr w:type="spellStart"/>
      <w:r w:rsidRPr="00CB4FF2">
        <w:t>HorizonTech</w:t>
      </w:r>
      <w:proofErr w:type="spellEnd"/>
      <w:r w:rsidRPr="00CB4FF2">
        <w:t xml:space="preserve"> Research Initiative. The authors thank the AMBER Centre for fabrication support.</w:t>
      </w:r>
    </w:p>
    <w:p w:rsidR="00E97402" w:rsidRDefault="00E97402">
      <w:pPr>
        <w:pStyle w:val="ReferenceHead"/>
      </w:pPr>
      <w:r>
        <w:t>References</w:t>
      </w:r>
    </w:p>
    <w:p w:rsidR="00CB4FF2" w:rsidRPr="00CB4FF2" w:rsidRDefault="00CB4FF2" w:rsidP="00CB4FF2">
      <w:pPr>
        <w:numPr>
          <w:ilvl w:val="0"/>
          <w:numId w:val="19"/>
        </w:numPr>
        <w:rPr>
          <w:sz w:val="16"/>
          <w:szCs w:val="16"/>
        </w:rPr>
      </w:pPr>
      <w:r w:rsidRPr="00CB4FF2">
        <w:rPr>
          <w:sz w:val="16"/>
          <w:szCs w:val="16"/>
        </w:rPr>
        <w:t xml:space="preserve">J. A. </w:t>
      </w:r>
      <w:proofErr w:type="spellStart"/>
      <w:r w:rsidRPr="00CB4FF2">
        <w:rPr>
          <w:sz w:val="16"/>
          <w:szCs w:val="16"/>
        </w:rPr>
        <w:t>Doe</w:t>
      </w:r>
      <w:proofErr w:type="spellEnd"/>
      <w:r w:rsidRPr="00CB4FF2">
        <w:rPr>
          <w:sz w:val="16"/>
          <w:szCs w:val="16"/>
        </w:rPr>
        <w:t>, R. B. Roe, and M. C. Poe, “Controlling electromagnetic fields in metamaterials,” Journal of Imaginary Physics, vol. 1, pp. 100–110, 2020.</w:t>
      </w:r>
    </w:p>
    <w:p w:rsidR="00CB4FF2" w:rsidRPr="00CB4FF2" w:rsidRDefault="00CB4FF2" w:rsidP="00CB4FF2">
      <w:pPr>
        <w:numPr>
          <w:ilvl w:val="0"/>
          <w:numId w:val="19"/>
        </w:numPr>
        <w:rPr>
          <w:sz w:val="16"/>
          <w:szCs w:val="16"/>
        </w:rPr>
      </w:pPr>
      <w:r w:rsidRPr="00CB4FF2">
        <w:rPr>
          <w:sz w:val="16"/>
          <w:szCs w:val="16"/>
        </w:rPr>
        <w:t>X. F. Smith and Y. T. Lee, “Terahertz metamaterials: design and applications,” Fictional Photonics Letters, vol. 5, pp. 50–60, 2021.</w:t>
      </w:r>
    </w:p>
    <w:p w:rsidR="00CB4FF2" w:rsidRPr="00CB4FF2" w:rsidRDefault="00CB4FF2" w:rsidP="00CB4FF2">
      <w:pPr>
        <w:numPr>
          <w:ilvl w:val="0"/>
          <w:numId w:val="19"/>
        </w:numPr>
        <w:rPr>
          <w:sz w:val="16"/>
          <w:szCs w:val="16"/>
        </w:rPr>
      </w:pPr>
      <w:r w:rsidRPr="00CB4FF2">
        <w:rPr>
          <w:sz w:val="16"/>
          <w:szCs w:val="16"/>
        </w:rPr>
        <w:t>A. N. Author, B. S. Writer, and C. Q. Researcher, “Machine learning</w:t>
      </w:r>
    </w:p>
    <w:p w:rsidR="00E97402" w:rsidRPr="00CB4FF2" w:rsidRDefault="00CB4FF2" w:rsidP="00CB4FF2">
      <w:pPr>
        <w:ind w:left="360"/>
        <w:rPr>
          <w:sz w:val="16"/>
          <w:szCs w:val="16"/>
        </w:rPr>
      </w:pPr>
      <w:r w:rsidRPr="00CB4FF2">
        <w:rPr>
          <w:sz w:val="16"/>
          <w:szCs w:val="16"/>
        </w:rPr>
        <w:t>for photonic crystal optimization,” Journal of Made-Up Science, vol. 12, pp. 200–215, 2019.</w:t>
      </w:r>
    </w:p>
    <w:sectPr w:rsidR="00E97402" w:rsidRPr="00CB4FF2">
      <w:headerReference w:type="default" r:id="rId9"/>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C0D" w:rsidRDefault="000D6C0D">
      <w:r>
        <w:separator/>
      </w:r>
    </w:p>
  </w:endnote>
  <w:endnote w:type="continuationSeparator" w:id="0">
    <w:p w:rsidR="000D6C0D" w:rsidRDefault="000D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panose1 w:val="02020502070401020303"/>
    <w:charset w:val="00"/>
    <w:family w:val="roman"/>
    <w:pitch w:val="variable"/>
    <w:sig w:usb0="80000067" w:usb1="02000000" w:usb2="00000000" w:usb3="00000000" w:csb0="0000019F" w:csb1="00000000"/>
  </w:font>
  <w:font w:name="NimbusRomNo9L">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C0D" w:rsidRDefault="000D6C0D"/>
  </w:footnote>
  <w:footnote w:type="continuationSeparator" w:id="0">
    <w:p w:rsidR="000D6C0D" w:rsidRDefault="000D6C0D">
      <w:r>
        <w:continuationSeparator/>
      </w:r>
    </w:p>
  </w:footnote>
  <w:footnote w:id="1">
    <w:p w:rsidR="00E97402" w:rsidRDefault="00E97402" w:rsidP="00CB4FF2">
      <w:pPr>
        <w:pStyle w:val="Notedebasdepage"/>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402" w:rsidRPr="00E77770" w:rsidRDefault="00E77770" w:rsidP="00E77770">
    <w:pPr>
      <w:pStyle w:val="En-tte"/>
      <w:pBdr>
        <w:bottom w:val="single" w:sz="4" w:space="1" w:color="auto"/>
      </w:pBdr>
      <w:jc w:val="center"/>
    </w:pPr>
    <w:r w:rsidRPr="00E77770">
      <w:t>META 2026, DUBLIN – IRELAND, JULY 14 – 17, 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FB"/>
    <w:multiLevelType w:val="multilevel"/>
    <w:tmpl w:val="2E085744"/>
    <w:lvl w:ilvl="0">
      <w:start w:val="1"/>
      <w:numFmt w:val="upperRoman"/>
      <w:pStyle w:val="Titre1"/>
      <w:lvlText w:val="%1."/>
      <w:legacy w:legacy="1" w:legacySpace="144" w:legacyIndent="144"/>
      <w:lvlJc w:val="left"/>
    </w:lvl>
    <w:lvl w:ilvl="1">
      <w:start w:val="1"/>
      <w:numFmt w:val="upperLetter"/>
      <w:pStyle w:val="Titre2"/>
      <w:lvlText w:val="%2."/>
      <w:legacy w:legacy="1" w:legacySpace="144" w:legacyIndent="144"/>
      <w:lvlJc w:val="left"/>
    </w:lvl>
    <w:lvl w:ilvl="2">
      <w:start w:val="1"/>
      <w:numFmt w:val="decimal"/>
      <w:pStyle w:val="Titre3"/>
      <w:lvlText w:val="%3)"/>
      <w:legacy w:legacy="1" w:legacySpace="144" w:legacyIndent="144"/>
      <w:lvlJc w:val="left"/>
    </w:lvl>
    <w:lvl w:ilvl="3">
      <w:start w:val="1"/>
      <w:numFmt w:val="lowerLetter"/>
      <w:pStyle w:val="Titre4"/>
      <w:lvlText w:val="%4)"/>
      <w:legacy w:legacy="1" w:legacySpace="0" w:legacyIndent="720"/>
      <w:lvlJc w:val="left"/>
      <w:pPr>
        <w:ind w:left="1152" w:hanging="720"/>
      </w:pPr>
    </w:lvl>
    <w:lvl w:ilvl="4">
      <w:start w:val="1"/>
      <w:numFmt w:val="decimal"/>
      <w:pStyle w:val="Titre5"/>
      <w:lvlText w:val="(%5)"/>
      <w:legacy w:legacy="1" w:legacySpace="0" w:legacyIndent="720"/>
      <w:lvlJc w:val="left"/>
      <w:pPr>
        <w:ind w:left="1872" w:hanging="720"/>
      </w:pPr>
    </w:lvl>
    <w:lvl w:ilvl="5">
      <w:start w:val="1"/>
      <w:numFmt w:val="lowerLetter"/>
      <w:pStyle w:val="Titre6"/>
      <w:lvlText w:val="(%6)"/>
      <w:legacy w:legacy="1" w:legacySpace="0" w:legacyIndent="720"/>
      <w:lvlJc w:val="left"/>
      <w:pPr>
        <w:ind w:left="2592" w:hanging="720"/>
      </w:pPr>
    </w:lvl>
    <w:lvl w:ilvl="6">
      <w:start w:val="1"/>
      <w:numFmt w:val="lowerRoman"/>
      <w:pStyle w:val="Titre7"/>
      <w:lvlText w:val="(%7)"/>
      <w:legacy w:legacy="1" w:legacySpace="0" w:legacyIndent="720"/>
      <w:lvlJc w:val="left"/>
      <w:pPr>
        <w:ind w:left="3312" w:hanging="720"/>
      </w:pPr>
    </w:lvl>
    <w:lvl w:ilvl="7">
      <w:start w:val="1"/>
      <w:numFmt w:val="lowerLetter"/>
      <w:pStyle w:val="Titre8"/>
      <w:lvlText w:val="(%8)"/>
      <w:legacy w:legacy="1" w:legacySpace="0" w:legacyIndent="720"/>
      <w:lvlJc w:val="left"/>
      <w:pPr>
        <w:ind w:left="4032" w:hanging="720"/>
      </w:pPr>
    </w:lvl>
    <w:lvl w:ilvl="8">
      <w:start w:val="1"/>
      <w:numFmt w:val="lowerRoman"/>
      <w:pStyle w:val="Titre9"/>
      <w:lvlText w:val="(%9)"/>
      <w:legacy w:legacy="1" w:legacySpace="0" w:legacyIndent="720"/>
      <w:lvlJc w:val="left"/>
      <w:pPr>
        <w:ind w:left="4752" w:hanging="720"/>
      </w:pPr>
    </w:lvl>
  </w:abstractNum>
  <w:abstractNum w:abstractNumId="1" w15:restartNumberingAfterBreak="0">
    <w:nsid w:val="18FF2A05"/>
    <w:multiLevelType w:val="hybridMultilevel"/>
    <w:tmpl w:val="7804994E"/>
    <w:lvl w:ilvl="0" w:tplc="040C0001">
      <w:start w:val="1"/>
      <w:numFmt w:val="bullet"/>
      <w:lvlText w:val=""/>
      <w:lvlJc w:val="left"/>
      <w:pPr>
        <w:ind w:left="922" w:hanging="360"/>
      </w:pPr>
      <w:rPr>
        <w:rFonts w:ascii="Symbol" w:hAnsi="Symbol"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3"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6"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8"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9"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0"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1" w15:restartNumberingAfterBreak="0">
    <w:nsid w:val="6376684B"/>
    <w:multiLevelType w:val="hybridMultilevel"/>
    <w:tmpl w:val="B574C4F4"/>
    <w:lvl w:ilvl="0" w:tplc="35EE3D36">
      <w:numFmt w:val="bullet"/>
      <w:lvlText w:val="•"/>
      <w:lvlJc w:val="left"/>
      <w:pPr>
        <w:ind w:left="562" w:hanging="360"/>
      </w:pPr>
      <w:rPr>
        <w:rFonts w:ascii="Times New Roman" w:eastAsia="Times New Roman" w:hAnsi="Times New Roman" w:cs="Times New Roman" w:hint="default"/>
      </w:rPr>
    </w:lvl>
    <w:lvl w:ilvl="1" w:tplc="040C0003" w:tentative="1">
      <w:start w:val="1"/>
      <w:numFmt w:val="bullet"/>
      <w:lvlText w:val="o"/>
      <w:lvlJc w:val="left"/>
      <w:pPr>
        <w:ind w:left="1282" w:hanging="360"/>
      </w:pPr>
      <w:rPr>
        <w:rFonts w:ascii="Courier New" w:hAnsi="Courier New" w:cs="Courier New" w:hint="default"/>
      </w:rPr>
    </w:lvl>
    <w:lvl w:ilvl="2" w:tplc="040C0005" w:tentative="1">
      <w:start w:val="1"/>
      <w:numFmt w:val="bullet"/>
      <w:lvlText w:val=""/>
      <w:lvlJc w:val="left"/>
      <w:pPr>
        <w:ind w:left="2002" w:hanging="360"/>
      </w:pPr>
      <w:rPr>
        <w:rFonts w:ascii="Wingdings" w:hAnsi="Wingdings" w:hint="default"/>
      </w:rPr>
    </w:lvl>
    <w:lvl w:ilvl="3" w:tplc="040C0001" w:tentative="1">
      <w:start w:val="1"/>
      <w:numFmt w:val="bullet"/>
      <w:lvlText w:val=""/>
      <w:lvlJc w:val="left"/>
      <w:pPr>
        <w:ind w:left="2722" w:hanging="360"/>
      </w:pPr>
      <w:rPr>
        <w:rFonts w:ascii="Symbol" w:hAnsi="Symbol" w:hint="default"/>
      </w:rPr>
    </w:lvl>
    <w:lvl w:ilvl="4" w:tplc="040C0003" w:tentative="1">
      <w:start w:val="1"/>
      <w:numFmt w:val="bullet"/>
      <w:lvlText w:val="o"/>
      <w:lvlJc w:val="left"/>
      <w:pPr>
        <w:ind w:left="3442" w:hanging="360"/>
      </w:pPr>
      <w:rPr>
        <w:rFonts w:ascii="Courier New" w:hAnsi="Courier New" w:cs="Courier New" w:hint="default"/>
      </w:rPr>
    </w:lvl>
    <w:lvl w:ilvl="5" w:tplc="040C0005" w:tentative="1">
      <w:start w:val="1"/>
      <w:numFmt w:val="bullet"/>
      <w:lvlText w:val=""/>
      <w:lvlJc w:val="left"/>
      <w:pPr>
        <w:ind w:left="4162" w:hanging="360"/>
      </w:pPr>
      <w:rPr>
        <w:rFonts w:ascii="Wingdings" w:hAnsi="Wingdings" w:hint="default"/>
      </w:rPr>
    </w:lvl>
    <w:lvl w:ilvl="6" w:tplc="040C0001" w:tentative="1">
      <w:start w:val="1"/>
      <w:numFmt w:val="bullet"/>
      <w:lvlText w:val=""/>
      <w:lvlJc w:val="left"/>
      <w:pPr>
        <w:ind w:left="4882" w:hanging="360"/>
      </w:pPr>
      <w:rPr>
        <w:rFonts w:ascii="Symbol" w:hAnsi="Symbol" w:hint="default"/>
      </w:rPr>
    </w:lvl>
    <w:lvl w:ilvl="7" w:tplc="040C0003" w:tentative="1">
      <w:start w:val="1"/>
      <w:numFmt w:val="bullet"/>
      <w:lvlText w:val="o"/>
      <w:lvlJc w:val="left"/>
      <w:pPr>
        <w:ind w:left="5602" w:hanging="360"/>
      </w:pPr>
      <w:rPr>
        <w:rFonts w:ascii="Courier New" w:hAnsi="Courier New" w:cs="Courier New" w:hint="default"/>
      </w:rPr>
    </w:lvl>
    <w:lvl w:ilvl="8" w:tplc="040C0005" w:tentative="1">
      <w:start w:val="1"/>
      <w:numFmt w:val="bullet"/>
      <w:lvlText w:val=""/>
      <w:lvlJc w:val="left"/>
      <w:pPr>
        <w:ind w:left="6322" w:hanging="360"/>
      </w:pPr>
      <w:rPr>
        <w:rFonts w:ascii="Wingdings" w:hAnsi="Wingdings" w:hint="default"/>
      </w:rPr>
    </w:lvl>
  </w:abstractNum>
  <w:abstractNum w:abstractNumId="12"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3"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5"/>
  </w:num>
  <w:num w:numId="3">
    <w:abstractNumId w:val="5"/>
    <w:lvlOverride w:ilvl="0">
      <w:lvl w:ilvl="0">
        <w:start w:val="1"/>
        <w:numFmt w:val="decimal"/>
        <w:lvlText w:val="%1."/>
        <w:legacy w:legacy="1" w:legacySpace="0" w:legacyIndent="360"/>
        <w:lvlJc w:val="left"/>
        <w:pPr>
          <w:ind w:left="360" w:hanging="360"/>
        </w:pPr>
      </w:lvl>
    </w:lvlOverride>
  </w:num>
  <w:num w:numId="4">
    <w:abstractNumId w:val="5"/>
    <w:lvlOverride w:ilvl="0">
      <w:lvl w:ilvl="0">
        <w:start w:val="1"/>
        <w:numFmt w:val="decimal"/>
        <w:lvlText w:val="%1."/>
        <w:legacy w:legacy="1" w:legacySpace="0" w:legacyIndent="360"/>
        <w:lvlJc w:val="left"/>
        <w:pPr>
          <w:ind w:left="360" w:hanging="360"/>
        </w:pPr>
      </w:lvl>
    </w:lvlOverride>
  </w:num>
  <w:num w:numId="5">
    <w:abstractNumId w:val="5"/>
    <w:lvlOverride w:ilvl="0">
      <w:lvl w:ilvl="0">
        <w:start w:val="1"/>
        <w:numFmt w:val="decimal"/>
        <w:lvlText w:val="%1."/>
        <w:legacy w:legacy="1" w:legacySpace="0" w:legacyIndent="360"/>
        <w:lvlJc w:val="left"/>
        <w:pPr>
          <w:ind w:left="360" w:hanging="360"/>
        </w:pPr>
      </w:lvl>
    </w:lvlOverride>
  </w:num>
  <w:num w:numId="6">
    <w:abstractNumId w:val="8"/>
  </w:num>
  <w:num w:numId="7">
    <w:abstractNumId w:val="8"/>
    <w:lvlOverride w:ilvl="0">
      <w:lvl w:ilvl="0">
        <w:start w:val="1"/>
        <w:numFmt w:val="decimal"/>
        <w:lvlText w:val="%1."/>
        <w:legacy w:legacy="1" w:legacySpace="0" w:legacyIndent="360"/>
        <w:lvlJc w:val="left"/>
        <w:pPr>
          <w:ind w:left="360" w:hanging="360"/>
        </w:pPr>
      </w:lvl>
    </w:lvlOverride>
  </w:num>
  <w:num w:numId="8">
    <w:abstractNumId w:val="8"/>
    <w:lvlOverride w:ilvl="0">
      <w:lvl w:ilvl="0">
        <w:start w:val="1"/>
        <w:numFmt w:val="decimal"/>
        <w:lvlText w:val="%1."/>
        <w:legacy w:legacy="1" w:legacySpace="0" w:legacyIndent="360"/>
        <w:lvlJc w:val="left"/>
        <w:pPr>
          <w:ind w:left="360" w:hanging="360"/>
        </w:pPr>
      </w:lvl>
    </w:lvlOverride>
  </w:num>
  <w:num w:numId="9">
    <w:abstractNumId w:val="8"/>
    <w:lvlOverride w:ilvl="0">
      <w:lvl w:ilvl="0">
        <w:start w:val="1"/>
        <w:numFmt w:val="decimal"/>
        <w:lvlText w:val="%1."/>
        <w:legacy w:legacy="1" w:legacySpace="0" w:legacyIndent="360"/>
        <w:lvlJc w:val="left"/>
        <w:pPr>
          <w:ind w:left="360" w:hanging="360"/>
        </w:pPr>
      </w:lvl>
    </w:lvlOverride>
  </w:num>
  <w:num w:numId="10">
    <w:abstractNumId w:val="8"/>
    <w:lvlOverride w:ilvl="0">
      <w:lvl w:ilvl="0">
        <w:start w:val="1"/>
        <w:numFmt w:val="decimal"/>
        <w:lvlText w:val="%1."/>
        <w:legacy w:legacy="1" w:legacySpace="0" w:legacyIndent="360"/>
        <w:lvlJc w:val="left"/>
        <w:pPr>
          <w:ind w:left="360" w:hanging="360"/>
        </w:pPr>
      </w:lvl>
    </w:lvlOverride>
  </w:num>
  <w:num w:numId="11">
    <w:abstractNumId w:val="8"/>
    <w:lvlOverride w:ilvl="0">
      <w:lvl w:ilvl="0">
        <w:start w:val="1"/>
        <w:numFmt w:val="decimal"/>
        <w:lvlText w:val="%1."/>
        <w:legacy w:legacy="1" w:legacySpace="0" w:legacyIndent="360"/>
        <w:lvlJc w:val="left"/>
        <w:pPr>
          <w:ind w:left="360" w:hanging="360"/>
        </w:pPr>
      </w:lvl>
    </w:lvlOverride>
  </w:num>
  <w:num w:numId="12">
    <w:abstractNumId w:val="6"/>
  </w:num>
  <w:num w:numId="13">
    <w:abstractNumId w:val="2"/>
  </w:num>
  <w:num w:numId="14">
    <w:abstractNumId w:val="10"/>
  </w:num>
  <w:num w:numId="15">
    <w:abstractNumId w:val="9"/>
  </w:num>
  <w:num w:numId="16">
    <w:abstractNumId w:val="13"/>
  </w:num>
  <w:num w:numId="17">
    <w:abstractNumId w:val="4"/>
  </w:num>
  <w:num w:numId="18">
    <w:abstractNumId w:val="3"/>
  </w:num>
  <w:num w:numId="19">
    <w:abstractNumId w:val="12"/>
  </w:num>
  <w:num w:numId="20">
    <w:abstractNumId w:val="7"/>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5B"/>
    <w:rsid w:val="000D6C0D"/>
    <w:rsid w:val="00134243"/>
    <w:rsid w:val="00144E72"/>
    <w:rsid w:val="0019758C"/>
    <w:rsid w:val="002434A1"/>
    <w:rsid w:val="00243A9F"/>
    <w:rsid w:val="00263F44"/>
    <w:rsid w:val="002805D1"/>
    <w:rsid w:val="00360269"/>
    <w:rsid w:val="003A1427"/>
    <w:rsid w:val="0043144F"/>
    <w:rsid w:val="00431BFA"/>
    <w:rsid w:val="004631BC"/>
    <w:rsid w:val="004C1E16"/>
    <w:rsid w:val="0055075D"/>
    <w:rsid w:val="005A1963"/>
    <w:rsid w:val="005A2A15"/>
    <w:rsid w:val="00621BFA"/>
    <w:rsid w:val="00625E96"/>
    <w:rsid w:val="00625E9A"/>
    <w:rsid w:val="007C4336"/>
    <w:rsid w:val="008672A6"/>
    <w:rsid w:val="0087792E"/>
    <w:rsid w:val="00932BEC"/>
    <w:rsid w:val="00987530"/>
    <w:rsid w:val="009D43DA"/>
    <w:rsid w:val="009F410E"/>
    <w:rsid w:val="00BB4FA7"/>
    <w:rsid w:val="00BD7199"/>
    <w:rsid w:val="00CB4B8D"/>
    <w:rsid w:val="00CB4FF2"/>
    <w:rsid w:val="00D20BD1"/>
    <w:rsid w:val="00D56935"/>
    <w:rsid w:val="00D758C6"/>
    <w:rsid w:val="00DC4785"/>
    <w:rsid w:val="00DF2DDE"/>
    <w:rsid w:val="00E41DCB"/>
    <w:rsid w:val="00E50DF6"/>
    <w:rsid w:val="00E77770"/>
    <w:rsid w:val="00E80497"/>
    <w:rsid w:val="00E97402"/>
    <w:rsid w:val="00F65266"/>
    <w:rsid w:val="00F67D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0B2EBD"/>
  <w15:chartTrackingRefBased/>
  <w15:docId w15:val="{BA2BE01F-0AEA-2E4C-956A-7011334B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autoSpaceDE w:val="0"/>
      <w:autoSpaceDN w:val="0"/>
    </w:pPr>
    <w:rPr>
      <w:lang w:val="en-US" w:eastAsia="en-US"/>
    </w:rPr>
  </w:style>
  <w:style w:type="paragraph" w:styleId="Titre1">
    <w:name w:val="heading 1"/>
    <w:basedOn w:val="Normal"/>
    <w:next w:val="Normal"/>
    <w:qFormat/>
    <w:pPr>
      <w:keepNext/>
      <w:numPr>
        <w:numId w:val="1"/>
      </w:numPr>
      <w:spacing w:before="240" w:after="80"/>
      <w:jc w:val="center"/>
      <w:outlineLvl w:val="0"/>
    </w:pPr>
    <w:rPr>
      <w:smallCaps/>
      <w:kern w:val="28"/>
    </w:rPr>
  </w:style>
  <w:style w:type="paragraph" w:styleId="Titre2">
    <w:name w:val="heading 2"/>
    <w:basedOn w:val="Normal"/>
    <w:next w:val="Normal"/>
    <w:qFormat/>
    <w:pPr>
      <w:keepNext/>
      <w:numPr>
        <w:ilvl w:val="1"/>
        <w:numId w:val="1"/>
      </w:numPr>
      <w:spacing w:before="120" w:after="60"/>
      <w:ind w:left="144"/>
      <w:outlineLvl w:val="1"/>
    </w:pPr>
    <w:rPr>
      <w:i/>
      <w:iCs/>
    </w:rPr>
  </w:style>
  <w:style w:type="paragraph" w:styleId="Titre3">
    <w:name w:val="heading 3"/>
    <w:basedOn w:val="Normal"/>
    <w:next w:val="Normal"/>
    <w:qFormat/>
    <w:pPr>
      <w:keepNext/>
      <w:numPr>
        <w:ilvl w:val="2"/>
        <w:numId w:val="1"/>
      </w:numPr>
      <w:ind w:left="288"/>
      <w:outlineLvl w:val="2"/>
    </w:pPr>
    <w:rPr>
      <w:i/>
      <w:iCs/>
    </w:rPr>
  </w:style>
  <w:style w:type="paragraph" w:styleId="Titre4">
    <w:name w:val="heading 4"/>
    <w:basedOn w:val="Normal"/>
    <w:next w:val="Normal"/>
    <w:qFormat/>
    <w:pPr>
      <w:keepNext/>
      <w:numPr>
        <w:ilvl w:val="3"/>
        <w:numId w:val="1"/>
      </w:numPr>
      <w:spacing w:before="240" w:after="60"/>
      <w:outlineLvl w:val="3"/>
    </w:pPr>
    <w:rPr>
      <w:i/>
      <w:iCs/>
      <w:sz w:val="18"/>
      <w:szCs w:val="18"/>
    </w:rPr>
  </w:style>
  <w:style w:type="paragraph" w:styleId="Titre5">
    <w:name w:val="heading 5"/>
    <w:basedOn w:val="Normal"/>
    <w:next w:val="Normal"/>
    <w:qFormat/>
    <w:pPr>
      <w:numPr>
        <w:ilvl w:val="4"/>
        <w:numId w:val="1"/>
      </w:numPr>
      <w:spacing w:before="240" w:after="60"/>
      <w:outlineLvl w:val="4"/>
    </w:pPr>
    <w:rPr>
      <w:sz w:val="18"/>
      <w:szCs w:val="18"/>
    </w:rPr>
  </w:style>
  <w:style w:type="paragraph" w:styleId="Titre6">
    <w:name w:val="heading 6"/>
    <w:basedOn w:val="Normal"/>
    <w:next w:val="Normal"/>
    <w:qFormat/>
    <w:pPr>
      <w:numPr>
        <w:ilvl w:val="5"/>
        <w:numId w:val="1"/>
      </w:numPr>
      <w:spacing w:before="240" w:after="60"/>
      <w:outlineLvl w:val="5"/>
    </w:pPr>
    <w:rPr>
      <w:i/>
      <w:iCs/>
      <w:sz w:val="16"/>
      <w:szCs w:val="16"/>
    </w:rPr>
  </w:style>
  <w:style w:type="paragraph" w:styleId="Titre7">
    <w:name w:val="heading 7"/>
    <w:basedOn w:val="Normal"/>
    <w:next w:val="Normal"/>
    <w:qFormat/>
    <w:pPr>
      <w:numPr>
        <w:ilvl w:val="6"/>
        <w:numId w:val="1"/>
      </w:numPr>
      <w:spacing w:before="240" w:after="60"/>
      <w:outlineLvl w:val="6"/>
    </w:pPr>
    <w:rPr>
      <w:sz w:val="16"/>
      <w:szCs w:val="16"/>
    </w:rPr>
  </w:style>
  <w:style w:type="paragraph" w:styleId="Titre8">
    <w:name w:val="heading 8"/>
    <w:basedOn w:val="Normal"/>
    <w:next w:val="Normal"/>
    <w:qFormat/>
    <w:pPr>
      <w:numPr>
        <w:ilvl w:val="7"/>
        <w:numId w:val="1"/>
      </w:numPr>
      <w:spacing w:before="240" w:after="60"/>
      <w:outlineLvl w:val="7"/>
    </w:pPr>
    <w:rPr>
      <w:i/>
      <w:iCs/>
      <w:sz w:val="16"/>
      <w:szCs w:val="16"/>
    </w:rPr>
  </w:style>
  <w:style w:type="paragraph" w:styleId="Titre9">
    <w:name w:val="heading 9"/>
    <w:basedOn w:val="Normal"/>
    <w:next w:val="Normal"/>
    <w:qFormat/>
    <w:pPr>
      <w:numPr>
        <w:ilvl w:val="8"/>
        <w:numId w:val="1"/>
      </w:numPr>
      <w:spacing w:before="240" w:after="60"/>
      <w:outlineLvl w:val="8"/>
    </w:pPr>
    <w:rPr>
      <w:sz w:val="16"/>
      <w:szCs w:val="1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re">
    <w:name w:val="Title"/>
    <w:basedOn w:val="Normal"/>
    <w:next w:val="Normal"/>
    <w:qFormat/>
    <w:pPr>
      <w:framePr w:w="9360" w:hSpace="187" w:vSpace="187" w:wrap="notBeside" w:vAnchor="text" w:hAnchor="page" w:xAlign="center" w:y="1"/>
      <w:jc w:val="center"/>
    </w:pPr>
    <w:rPr>
      <w:kern w:val="28"/>
      <w:sz w:val="48"/>
      <w:szCs w:val="48"/>
    </w:rPr>
  </w:style>
  <w:style w:type="paragraph" w:styleId="Notedebasdepage">
    <w:name w:val="footnote text"/>
    <w:basedOn w:val="Normal"/>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Appelnotedebasdep">
    <w:name w:val="footnote reference"/>
    <w:semiHidden/>
    <w:rPr>
      <w:vertAlign w:val="superscript"/>
    </w:rPr>
  </w:style>
  <w:style w:type="paragraph" w:styleId="Pieddepage">
    <w:name w:val="footer"/>
    <w:basedOn w:val="Normal"/>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Titre1"/>
    <w:pPr>
      <w:numPr>
        <w:numId w:val="0"/>
      </w:numPr>
    </w:pPr>
  </w:style>
  <w:style w:type="paragraph" w:styleId="En-tte">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pPr>
      <w:ind w:left="630" w:hanging="630"/>
    </w:pPr>
    <w:rPr>
      <w:szCs w:val="24"/>
    </w:rPr>
  </w:style>
  <w:style w:type="paragraph" w:styleId="Explorateurdedocuments">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character" w:styleId="Mentionnonrsolue">
    <w:name w:val="Unresolved Mention"/>
    <w:basedOn w:val="Policepardfaut"/>
    <w:uiPriority w:val="99"/>
    <w:semiHidden/>
    <w:unhideWhenUsed/>
    <w:rsid w:val="00E77770"/>
    <w:rPr>
      <w:color w:val="605E5C"/>
      <w:shd w:val="clear" w:color="auto" w:fill="E1DFDD"/>
    </w:rPr>
  </w:style>
  <w:style w:type="paragraph" w:styleId="NormalWeb">
    <w:name w:val="Normal (Web)"/>
    <w:basedOn w:val="Normal"/>
    <w:uiPriority w:val="99"/>
    <w:unhideWhenUsed/>
    <w:rsid w:val="00E77770"/>
    <w:pPr>
      <w:autoSpaceDE/>
      <w:autoSpaceDN/>
      <w:spacing w:before="100" w:beforeAutospacing="1" w:after="100" w:afterAutospacing="1"/>
    </w:pPr>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31998">
      <w:bodyDiv w:val="1"/>
      <w:marLeft w:val="0"/>
      <w:marRight w:val="0"/>
      <w:marTop w:val="0"/>
      <w:marBottom w:val="0"/>
      <w:divBdr>
        <w:top w:val="none" w:sz="0" w:space="0" w:color="auto"/>
        <w:left w:val="none" w:sz="0" w:space="0" w:color="auto"/>
        <w:bottom w:val="none" w:sz="0" w:space="0" w:color="auto"/>
        <w:right w:val="none" w:sz="0" w:space="0" w:color="auto"/>
      </w:divBdr>
    </w:div>
    <w:div w:id="675184193">
      <w:bodyDiv w:val="1"/>
      <w:marLeft w:val="0"/>
      <w:marRight w:val="0"/>
      <w:marTop w:val="0"/>
      <w:marBottom w:val="0"/>
      <w:divBdr>
        <w:top w:val="none" w:sz="0" w:space="0" w:color="auto"/>
        <w:left w:val="none" w:sz="0" w:space="0" w:color="auto"/>
        <w:bottom w:val="none" w:sz="0" w:space="0" w:color="auto"/>
        <w:right w:val="none" w:sz="0" w:space="0" w:color="auto"/>
      </w:divBdr>
    </w:div>
    <w:div w:id="1492211597">
      <w:bodyDiv w:val="1"/>
      <w:marLeft w:val="0"/>
      <w:marRight w:val="0"/>
      <w:marTop w:val="0"/>
      <w:marBottom w:val="0"/>
      <w:divBdr>
        <w:top w:val="none" w:sz="0" w:space="0" w:color="auto"/>
        <w:left w:val="none" w:sz="0" w:space="0" w:color="auto"/>
        <w:bottom w:val="none" w:sz="0" w:space="0" w:color="auto"/>
        <w:right w:val="none" w:sz="0" w:space="0" w:color="auto"/>
      </w:divBdr>
      <w:divsChild>
        <w:div w:id="1259488600">
          <w:marLeft w:val="0"/>
          <w:marRight w:val="0"/>
          <w:marTop w:val="0"/>
          <w:marBottom w:val="0"/>
          <w:divBdr>
            <w:top w:val="none" w:sz="0" w:space="0" w:color="auto"/>
            <w:left w:val="none" w:sz="0" w:space="0" w:color="auto"/>
            <w:bottom w:val="none" w:sz="0" w:space="0" w:color="auto"/>
            <w:right w:val="none" w:sz="0" w:space="0" w:color="auto"/>
          </w:divBdr>
          <w:divsChild>
            <w:div w:id="985933008">
              <w:marLeft w:val="0"/>
              <w:marRight w:val="0"/>
              <w:marTop w:val="0"/>
              <w:marBottom w:val="0"/>
              <w:divBdr>
                <w:top w:val="none" w:sz="0" w:space="0" w:color="auto"/>
                <w:left w:val="none" w:sz="0" w:space="0" w:color="auto"/>
                <w:bottom w:val="none" w:sz="0" w:space="0" w:color="auto"/>
                <w:right w:val="none" w:sz="0" w:space="0" w:color="auto"/>
              </w:divBdr>
              <w:divsChild>
                <w:div w:id="29572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497215">
      <w:bodyDiv w:val="1"/>
      <w:marLeft w:val="0"/>
      <w:marRight w:val="0"/>
      <w:marTop w:val="0"/>
      <w:marBottom w:val="0"/>
      <w:divBdr>
        <w:top w:val="none" w:sz="0" w:space="0" w:color="auto"/>
        <w:left w:val="none" w:sz="0" w:space="0" w:color="auto"/>
        <w:bottom w:val="none" w:sz="0" w:space="0" w:color="auto"/>
        <w:right w:val="none" w:sz="0" w:space="0" w:color="auto"/>
      </w:divBdr>
      <w:divsChild>
        <w:div w:id="1095127832">
          <w:marLeft w:val="0"/>
          <w:marRight w:val="0"/>
          <w:marTop w:val="0"/>
          <w:marBottom w:val="0"/>
          <w:divBdr>
            <w:top w:val="none" w:sz="0" w:space="0" w:color="auto"/>
            <w:left w:val="none" w:sz="0" w:space="0" w:color="auto"/>
            <w:bottom w:val="none" w:sz="0" w:space="0" w:color="auto"/>
            <w:right w:val="none" w:sz="0" w:space="0" w:color="auto"/>
          </w:divBdr>
          <w:divsChild>
            <w:div w:id="27537753">
              <w:marLeft w:val="0"/>
              <w:marRight w:val="0"/>
              <w:marTop w:val="0"/>
              <w:marBottom w:val="0"/>
              <w:divBdr>
                <w:top w:val="none" w:sz="0" w:space="0" w:color="auto"/>
                <w:left w:val="none" w:sz="0" w:space="0" w:color="auto"/>
                <w:bottom w:val="none" w:sz="0" w:space="0" w:color="auto"/>
                <w:right w:val="none" w:sz="0" w:space="0" w:color="auto"/>
              </w:divBdr>
              <w:divsChild>
                <w:div w:id="89551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48622">
      <w:bodyDiv w:val="1"/>
      <w:marLeft w:val="0"/>
      <w:marRight w:val="0"/>
      <w:marTop w:val="0"/>
      <w:marBottom w:val="0"/>
      <w:divBdr>
        <w:top w:val="none" w:sz="0" w:space="0" w:color="auto"/>
        <w:left w:val="none" w:sz="0" w:space="0" w:color="auto"/>
        <w:bottom w:val="none" w:sz="0" w:space="0" w:color="auto"/>
        <w:right w:val="none" w:sz="0" w:space="0" w:color="auto"/>
      </w:divBdr>
      <w:divsChild>
        <w:div w:id="558129395">
          <w:marLeft w:val="0"/>
          <w:marRight w:val="0"/>
          <w:marTop w:val="0"/>
          <w:marBottom w:val="0"/>
          <w:divBdr>
            <w:top w:val="none" w:sz="0" w:space="0" w:color="auto"/>
            <w:left w:val="none" w:sz="0" w:space="0" w:color="auto"/>
            <w:bottom w:val="none" w:sz="0" w:space="0" w:color="auto"/>
            <w:right w:val="none" w:sz="0" w:space="0" w:color="auto"/>
          </w:divBdr>
          <w:divsChild>
            <w:div w:id="918908106">
              <w:marLeft w:val="0"/>
              <w:marRight w:val="0"/>
              <w:marTop w:val="0"/>
              <w:marBottom w:val="0"/>
              <w:divBdr>
                <w:top w:val="none" w:sz="0" w:space="0" w:color="auto"/>
                <w:left w:val="none" w:sz="0" w:space="0" w:color="auto"/>
                <w:bottom w:val="none" w:sz="0" w:space="0" w:color="auto"/>
                <w:right w:val="none" w:sz="0" w:space="0" w:color="auto"/>
              </w:divBdr>
              <w:divsChild>
                <w:div w:id="845048965">
                  <w:marLeft w:val="0"/>
                  <w:marRight w:val="0"/>
                  <w:marTop w:val="0"/>
                  <w:marBottom w:val="0"/>
                  <w:divBdr>
                    <w:top w:val="none" w:sz="0" w:space="0" w:color="auto"/>
                    <w:left w:val="none" w:sz="0" w:space="0" w:color="auto"/>
                    <w:bottom w:val="none" w:sz="0" w:space="0" w:color="auto"/>
                    <w:right w:val="none" w:sz="0" w:space="0" w:color="auto"/>
                  </w:divBdr>
                </w:div>
                <w:div w:id="14628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1854</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vt:lpstr>
      <vt:lpstr></vt:lpstr>
    </vt:vector>
  </TitlesOfParts>
  <Company>IEEE</Company>
  <LinksUpToDate>false</LinksUpToDate>
  <CharactersWithSpaces>2186</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keywords/>
  <dc:description/>
  <cp:lastModifiedBy>Microsoft Office User</cp:lastModifiedBy>
  <cp:revision>3</cp:revision>
  <cp:lastPrinted>2025-08-13T12:05:00Z</cp:lastPrinted>
  <dcterms:created xsi:type="dcterms:W3CDTF">2025-08-13T12:09:00Z</dcterms:created>
  <dcterms:modified xsi:type="dcterms:W3CDTF">2025-08-13T12:10:00Z</dcterms:modified>
</cp:coreProperties>
</file>